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BDF1" w14:textId="77777777" w:rsidR="006F2993" w:rsidRPr="007A7591" w:rsidRDefault="006F2993" w:rsidP="006F2993">
      <w:pPr>
        <w:keepNext/>
        <w:spacing w:before="120" w:line="281" w:lineRule="auto"/>
        <w:jc w:val="both"/>
        <w:outlineLvl w:val="0"/>
        <w:rPr>
          <w:rFonts w:ascii="Arial Narrow" w:eastAsia="Times New Roman" w:hAnsi="Arial Narrow" w:cs="Times New Roman"/>
          <w:b/>
          <w:bCs/>
          <w:iCs/>
          <w:sz w:val="24"/>
          <w:szCs w:val="24"/>
        </w:rPr>
      </w:pPr>
      <w:bookmarkStart w:id="0" w:name="_Toc450460764"/>
      <w:bookmarkStart w:id="1" w:name="_Toc450460806"/>
      <w:bookmarkStart w:id="2" w:name="_Toc454742145"/>
      <w:bookmarkStart w:id="3" w:name="_Toc138624404"/>
      <w:bookmarkStart w:id="4" w:name="_Toc138624483"/>
      <w:r w:rsidRPr="007A7591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>Seznam odpadů, se kterými je v zařízení nakládáno</w:t>
      </w:r>
      <w:bookmarkEnd w:id="0"/>
      <w:bookmarkEnd w:id="1"/>
      <w:bookmarkEnd w:id="2"/>
      <w:r w:rsidRPr="007A7591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 xml:space="preserve"> (činnost 4.10.0)</w:t>
      </w:r>
      <w:bookmarkEnd w:id="3"/>
      <w:bookmarkEnd w:id="4"/>
    </w:p>
    <w:tbl>
      <w:tblPr>
        <w:tblW w:w="88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26"/>
        <w:gridCol w:w="6472"/>
      </w:tblGrid>
      <w:tr w:rsidR="006F2993" w:rsidRPr="007A7591" w14:paraId="058C7B24" w14:textId="77777777" w:rsidTr="00615627">
        <w:trPr>
          <w:trHeight w:val="20"/>
        </w:trPr>
        <w:tc>
          <w:tcPr>
            <w:tcW w:w="1277" w:type="dxa"/>
            <w:shd w:val="clear" w:color="auto" w:fill="D9D9D9"/>
          </w:tcPr>
          <w:p w14:paraId="3555A569" w14:textId="77777777" w:rsidR="006F2993" w:rsidRPr="007A7591" w:rsidRDefault="006F2993" w:rsidP="0061562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b/>
                <w:iCs/>
                <w:sz w:val="24"/>
                <w:szCs w:val="24"/>
              </w:rPr>
              <w:t>Katalogové číslo</w:t>
            </w:r>
          </w:p>
        </w:tc>
        <w:tc>
          <w:tcPr>
            <w:tcW w:w="1126" w:type="dxa"/>
            <w:shd w:val="clear" w:color="auto" w:fill="D9D9D9"/>
          </w:tcPr>
          <w:p w14:paraId="31B78556" w14:textId="77777777" w:rsidR="006F2993" w:rsidRPr="007A7591" w:rsidRDefault="006F2993" w:rsidP="0061562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b/>
                <w:iCs/>
                <w:sz w:val="24"/>
                <w:szCs w:val="24"/>
              </w:rPr>
              <w:t>Kategorie odpadů</w:t>
            </w:r>
          </w:p>
        </w:tc>
        <w:tc>
          <w:tcPr>
            <w:tcW w:w="6472" w:type="dxa"/>
            <w:shd w:val="clear" w:color="auto" w:fill="D9D9D9"/>
          </w:tcPr>
          <w:p w14:paraId="68830610" w14:textId="77777777" w:rsidR="006F2993" w:rsidRPr="007A7591" w:rsidRDefault="006F2993" w:rsidP="0061562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b/>
                <w:sz w:val="24"/>
                <w:szCs w:val="24"/>
              </w:rPr>
              <w:t>Název odpadu</w:t>
            </w:r>
          </w:p>
        </w:tc>
      </w:tr>
      <w:tr w:rsidR="006F2993" w:rsidRPr="007A7591" w14:paraId="01925368" w14:textId="77777777" w:rsidTr="00615627">
        <w:tc>
          <w:tcPr>
            <w:tcW w:w="1277" w:type="dxa"/>
            <w:shd w:val="clear" w:color="auto" w:fill="auto"/>
            <w:vAlign w:val="center"/>
          </w:tcPr>
          <w:p w14:paraId="795CDA0F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02 01 01</w:t>
            </w:r>
          </w:p>
        </w:tc>
        <w:tc>
          <w:tcPr>
            <w:tcW w:w="1126" w:type="dxa"/>
            <w:shd w:val="clear" w:color="auto" w:fill="auto"/>
          </w:tcPr>
          <w:p w14:paraId="7A266450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2DE33C7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Kaly z praní a z čištění</w:t>
            </w:r>
          </w:p>
        </w:tc>
      </w:tr>
      <w:tr w:rsidR="006F2993" w:rsidRPr="007A7591" w14:paraId="32001C8D" w14:textId="77777777" w:rsidTr="00615627">
        <w:tc>
          <w:tcPr>
            <w:tcW w:w="1277" w:type="dxa"/>
            <w:shd w:val="clear" w:color="auto" w:fill="auto"/>
            <w:vAlign w:val="center"/>
          </w:tcPr>
          <w:p w14:paraId="65967187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02 01 03</w:t>
            </w:r>
          </w:p>
        </w:tc>
        <w:tc>
          <w:tcPr>
            <w:tcW w:w="1126" w:type="dxa"/>
            <w:shd w:val="clear" w:color="auto" w:fill="auto"/>
          </w:tcPr>
          <w:p w14:paraId="578E4373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07BE7E4E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 rostlinných pletiv</w:t>
            </w:r>
          </w:p>
        </w:tc>
      </w:tr>
      <w:tr w:rsidR="006F2993" w:rsidRPr="007A7591" w14:paraId="10143934" w14:textId="77777777" w:rsidTr="00615627">
        <w:tc>
          <w:tcPr>
            <w:tcW w:w="1277" w:type="dxa"/>
            <w:shd w:val="clear" w:color="auto" w:fill="auto"/>
            <w:vAlign w:val="center"/>
          </w:tcPr>
          <w:p w14:paraId="4954192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02 01 06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54BA8A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F8518C5" w14:textId="77777777" w:rsidR="006F2993" w:rsidRPr="007A7591" w:rsidRDefault="006F2993" w:rsidP="00615627">
            <w:pPr>
              <w:tabs>
                <w:tab w:val="left" w:pos="1134"/>
              </w:tabs>
              <w:spacing w:after="0" w:line="281" w:lineRule="auto"/>
              <w:jc w:val="both"/>
              <w:rPr>
                <w:rFonts w:ascii="Arial Narrow" w:hAnsi="Arial Narrow" w:cs="Calibri"/>
                <w:sz w:val="24"/>
                <w:szCs w:val="24"/>
                <w:vertAlign w:val="superscript"/>
              </w:rPr>
            </w:pPr>
            <w:r w:rsidRPr="007A75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Zvířecí trus, moč a hnůj (včetně znečištěné slámy), kapalné </w:t>
            </w:r>
            <w:proofErr w:type="gramStart"/>
            <w:r w:rsidRPr="007A75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odpady,   </w:t>
            </w:r>
            <w:proofErr w:type="gramEnd"/>
            <w:r w:rsidRPr="007A75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soustřeďované odděleně a zpracovávané mimo místo vzniku </w:t>
            </w:r>
            <w:r w:rsidRPr="007A7591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6F2993" w:rsidRPr="007A7591" w14:paraId="6481AE05" w14:textId="77777777" w:rsidTr="00615627">
        <w:tc>
          <w:tcPr>
            <w:tcW w:w="1277" w:type="dxa"/>
            <w:shd w:val="clear" w:color="auto" w:fill="auto"/>
            <w:vAlign w:val="center"/>
          </w:tcPr>
          <w:p w14:paraId="72E3282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02 01 07</w:t>
            </w:r>
          </w:p>
        </w:tc>
        <w:tc>
          <w:tcPr>
            <w:tcW w:w="1126" w:type="dxa"/>
            <w:shd w:val="clear" w:color="auto" w:fill="auto"/>
          </w:tcPr>
          <w:p w14:paraId="0F874239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3043C14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Odpady z lesnictví</w:t>
            </w:r>
          </w:p>
        </w:tc>
      </w:tr>
      <w:tr w:rsidR="006F2993" w:rsidRPr="007A7591" w14:paraId="253E13BA" w14:textId="77777777" w:rsidTr="00615627">
        <w:tc>
          <w:tcPr>
            <w:tcW w:w="1277" w:type="dxa"/>
            <w:shd w:val="clear" w:color="auto" w:fill="auto"/>
            <w:vAlign w:val="center"/>
          </w:tcPr>
          <w:p w14:paraId="5DFDDF17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02 03 04</w:t>
            </w:r>
          </w:p>
        </w:tc>
        <w:tc>
          <w:tcPr>
            <w:tcW w:w="1126" w:type="dxa"/>
            <w:shd w:val="clear" w:color="auto" w:fill="auto"/>
          </w:tcPr>
          <w:p w14:paraId="6F64570F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776CD541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Suroviny nevhodné ke spotřebě nebo zpracování</w:t>
            </w:r>
          </w:p>
        </w:tc>
      </w:tr>
      <w:tr w:rsidR="006F2993" w:rsidRPr="007A7591" w14:paraId="0F615BEC" w14:textId="77777777" w:rsidTr="00615627">
        <w:tc>
          <w:tcPr>
            <w:tcW w:w="1277" w:type="dxa"/>
            <w:shd w:val="clear" w:color="auto" w:fill="auto"/>
            <w:vAlign w:val="center"/>
          </w:tcPr>
          <w:p w14:paraId="59879CD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02 06 01</w:t>
            </w:r>
          </w:p>
        </w:tc>
        <w:tc>
          <w:tcPr>
            <w:tcW w:w="1126" w:type="dxa"/>
            <w:shd w:val="clear" w:color="auto" w:fill="auto"/>
          </w:tcPr>
          <w:p w14:paraId="4297B406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0E2299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Suroviny nevhodné ke spotřebě nebo zpracování</w:t>
            </w:r>
          </w:p>
        </w:tc>
      </w:tr>
      <w:tr w:rsidR="006F2993" w:rsidRPr="007A7591" w14:paraId="7F2050C8" w14:textId="77777777" w:rsidTr="00615627">
        <w:tc>
          <w:tcPr>
            <w:tcW w:w="1277" w:type="dxa"/>
            <w:shd w:val="clear" w:color="auto" w:fill="auto"/>
            <w:vAlign w:val="center"/>
          </w:tcPr>
          <w:p w14:paraId="251021B6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02 07 02</w:t>
            </w:r>
          </w:p>
        </w:tc>
        <w:tc>
          <w:tcPr>
            <w:tcW w:w="1126" w:type="dxa"/>
            <w:shd w:val="clear" w:color="auto" w:fill="auto"/>
          </w:tcPr>
          <w:p w14:paraId="76EA06B3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0B0FFB17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 z destilace lihovin</w:t>
            </w:r>
          </w:p>
        </w:tc>
      </w:tr>
      <w:tr w:rsidR="006F2993" w:rsidRPr="007A7591" w14:paraId="030DD5AC" w14:textId="77777777" w:rsidTr="00615627">
        <w:tc>
          <w:tcPr>
            <w:tcW w:w="1277" w:type="dxa"/>
            <w:shd w:val="clear" w:color="auto" w:fill="auto"/>
            <w:vAlign w:val="center"/>
          </w:tcPr>
          <w:p w14:paraId="15C8080A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03 01 01</w:t>
            </w:r>
          </w:p>
        </w:tc>
        <w:tc>
          <w:tcPr>
            <w:tcW w:w="1126" w:type="dxa"/>
            <w:shd w:val="clear" w:color="auto" w:fill="auto"/>
          </w:tcPr>
          <w:p w14:paraId="35E91304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498B60D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Odpadní kůra a korek</w:t>
            </w:r>
          </w:p>
        </w:tc>
      </w:tr>
      <w:tr w:rsidR="006F2993" w:rsidRPr="007A7591" w14:paraId="51DAD598" w14:textId="77777777" w:rsidTr="00615627">
        <w:tc>
          <w:tcPr>
            <w:tcW w:w="1277" w:type="dxa"/>
            <w:shd w:val="clear" w:color="auto" w:fill="auto"/>
            <w:vAlign w:val="center"/>
          </w:tcPr>
          <w:p w14:paraId="44CACD4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03 01 05</w:t>
            </w:r>
          </w:p>
        </w:tc>
        <w:tc>
          <w:tcPr>
            <w:tcW w:w="1126" w:type="dxa"/>
            <w:shd w:val="clear" w:color="auto" w:fill="auto"/>
          </w:tcPr>
          <w:p w14:paraId="3330D8B6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73F67B08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Piliny, hobliny, odřezky, dřevo, dřevotřískové desky a dýhy, neuvedené pod číslem 03 01 04</w:t>
            </w:r>
          </w:p>
        </w:tc>
      </w:tr>
      <w:tr w:rsidR="006F2993" w:rsidRPr="007A7591" w14:paraId="2393ACF0" w14:textId="77777777" w:rsidTr="00615627">
        <w:tc>
          <w:tcPr>
            <w:tcW w:w="1277" w:type="dxa"/>
            <w:shd w:val="clear" w:color="auto" w:fill="auto"/>
            <w:vAlign w:val="center"/>
          </w:tcPr>
          <w:p w14:paraId="53411371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03 03 01</w:t>
            </w:r>
          </w:p>
        </w:tc>
        <w:tc>
          <w:tcPr>
            <w:tcW w:w="1126" w:type="dxa"/>
            <w:shd w:val="clear" w:color="auto" w:fill="auto"/>
          </w:tcPr>
          <w:p w14:paraId="0293AD1F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76653448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Odpadní kůra a dřevo</w:t>
            </w:r>
          </w:p>
        </w:tc>
      </w:tr>
      <w:tr w:rsidR="006F2993" w:rsidRPr="007A7591" w14:paraId="2A72EDFE" w14:textId="77777777" w:rsidTr="00615627">
        <w:tc>
          <w:tcPr>
            <w:tcW w:w="1277" w:type="dxa"/>
            <w:shd w:val="clear" w:color="auto" w:fill="auto"/>
            <w:vAlign w:val="center"/>
          </w:tcPr>
          <w:p w14:paraId="735E4AA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03 03 07</w:t>
            </w:r>
          </w:p>
        </w:tc>
        <w:tc>
          <w:tcPr>
            <w:tcW w:w="1126" w:type="dxa"/>
            <w:shd w:val="clear" w:color="auto" w:fill="auto"/>
          </w:tcPr>
          <w:p w14:paraId="0361DB5B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C28F604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Mechanicky oddělený výmět z rozvlákňování odpadního papíru a lepenky (pouze odpad kartonu)</w:t>
            </w:r>
          </w:p>
        </w:tc>
      </w:tr>
      <w:tr w:rsidR="006F2993" w:rsidRPr="007A7591" w14:paraId="3BC89041" w14:textId="77777777" w:rsidTr="00615627">
        <w:tc>
          <w:tcPr>
            <w:tcW w:w="1277" w:type="dxa"/>
            <w:shd w:val="clear" w:color="auto" w:fill="auto"/>
            <w:vAlign w:val="center"/>
          </w:tcPr>
          <w:p w14:paraId="1620EA64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04 02 10</w:t>
            </w:r>
          </w:p>
        </w:tc>
        <w:tc>
          <w:tcPr>
            <w:tcW w:w="1126" w:type="dxa"/>
            <w:shd w:val="clear" w:color="auto" w:fill="auto"/>
          </w:tcPr>
          <w:p w14:paraId="07CCABE3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1EAE7B9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Organické hmoty z přírodních produktů (např. tuk, vosk)</w:t>
            </w:r>
          </w:p>
        </w:tc>
      </w:tr>
      <w:tr w:rsidR="006F2993" w:rsidRPr="007A7591" w14:paraId="4BE67929" w14:textId="77777777" w:rsidTr="00615627">
        <w:tc>
          <w:tcPr>
            <w:tcW w:w="1277" w:type="dxa"/>
            <w:shd w:val="clear" w:color="auto" w:fill="auto"/>
            <w:vAlign w:val="center"/>
          </w:tcPr>
          <w:p w14:paraId="1852E49C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15 01 03</w:t>
            </w:r>
          </w:p>
        </w:tc>
        <w:tc>
          <w:tcPr>
            <w:tcW w:w="1126" w:type="dxa"/>
            <w:shd w:val="clear" w:color="auto" w:fill="auto"/>
          </w:tcPr>
          <w:p w14:paraId="3F18E3BA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38E5331C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Dřevěné obaly</w:t>
            </w:r>
          </w:p>
        </w:tc>
      </w:tr>
      <w:tr w:rsidR="006F2993" w:rsidRPr="007A7591" w14:paraId="17D64AD9" w14:textId="77777777" w:rsidTr="00615627">
        <w:tc>
          <w:tcPr>
            <w:tcW w:w="1277" w:type="dxa"/>
            <w:shd w:val="clear" w:color="auto" w:fill="auto"/>
            <w:vAlign w:val="center"/>
          </w:tcPr>
          <w:p w14:paraId="63C2F861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17 02 01</w:t>
            </w:r>
          </w:p>
        </w:tc>
        <w:tc>
          <w:tcPr>
            <w:tcW w:w="1126" w:type="dxa"/>
            <w:shd w:val="clear" w:color="auto" w:fill="auto"/>
          </w:tcPr>
          <w:p w14:paraId="49BF7CF3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2295CB4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Dřevo</w:t>
            </w:r>
          </w:p>
        </w:tc>
      </w:tr>
      <w:tr w:rsidR="006F2993" w:rsidRPr="007A7591" w14:paraId="59F1110F" w14:textId="77777777" w:rsidTr="00615627">
        <w:tc>
          <w:tcPr>
            <w:tcW w:w="1277" w:type="dxa"/>
            <w:shd w:val="clear" w:color="auto" w:fill="auto"/>
            <w:vAlign w:val="center"/>
          </w:tcPr>
          <w:p w14:paraId="1302181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19 05 03</w:t>
            </w:r>
          </w:p>
        </w:tc>
        <w:tc>
          <w:tcPr>
            <w:tcW w:w="1126" w:type="dxa"/>
            <w:shd w:val="clear" w:color="auto" w:fill="auto"/>
          </w:tcPr>
          <w:p w14:paraId="5261DE40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0F981F2F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Kompost nevyhovující jakosti</w:t>
            </w:r>
          </w:p>
        </w:tc>
      </w:tr>
      <w:tr w:rsidR="006F2993" w:rsidRPr="007A7591" w14:paraId="11E47345" w14:textId="77777777" w:rsidTr="00615627">
        <w:tc>
          <w:tcPr>
            <w:tcW w:w="1277" w:type="dxa"/>
            <w:shd w:val="clear" w:color="auto" w:fill="auto"/>
            <w:vAlign w:val="center"/>
          </w:tcPr>
          <w:p w14:paraId="10285521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19 06 03</w:t>
            </w:r>
          </w:p>
        </w:tc>
        <w:tc>
          <w:tcPr>
            <w:tcW w:w="1126" w:type="dxa"/>
            <w:shd w:val="clear" w:color="auto" w:fill="auto"/>
          </w:tcPr>
          <w:p w14:paraId="76567CF2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6F044553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Extrakty z anaerobního zpracování komunálního odpadu</w:t>
            </w:r>
            <w:r w:rsidRPr="007A7591">
              <w:rPr>
                <w:rFonts w:ascii="Arial Narrow" w:hAnsi="Arial Narrow" w:cs="Calibri"/>
                <w:sz w:val="24"/>
                <w:szCs w:val="24"/>
                <w:vertAlign w:val="superscript"/>
              </w:rPr>
              <w:t>1)</w:t>
            </w:r>
          </w:p>
        </w:tc>
      </w:tr>
      <w:tr w:rsidR="006F2993" w:rsidRPr="007A7591" w14:paraId="31FBADD3" w14:textId="77777777" w:rsidTr="00615627">
        <w:tc>
          <w:tcPr>
            <w:tcW w:w="1277" w:type="dxa"/>
            <w:shd w:val="clear" w:color="auto" w:fill="auto"/>
            <w:vAlign w:val="center"/>
          </w:tcPr>
          <w:p w14:paraId="0426EA1F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19 06 04</w:t>
            </w:r>
          </w:p>
        </w:tc>
        <w:tc>
          <w:tcPr>
            <w:tcW w:w="1126" w:type="dxa"/>
            <w:shd w:val="clear" w:color="auto" w:fill="auto"/>
          </w:tcPr>
          <w:p w14:paraId="63F068BF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18EF5E27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Produkty vyhnívání z anaerobního zpracování komunálního odpadu</w:t>
            </w:r>
            <w:r w:rsidRPr="007A7591">
              <w:rPr>
                <w:rFonts w:ascii="Arial Narrow" w:hAnsi="Arial Narrow" w:cs="Calibri"/>
                <w:sz w:val="24"/>
                <w:szCs w:val="24"/>
                <w:vertAlign w:val="superscript"/>
              </w:rPr>
              <w:t>1)</w:t>
            </w:r>
          </w:p>
        </w:tc>
      </w:tr>
      <w:tr w:rsidR="006F2993" w:rsidRPr="007A7591" w14:paraId="605ED196" w14:textId="77777777" w:rsidTr="00615627">
        <w:tc>
          <w:tcPr>
            <w:tcW w:w="1277" w:type="dxa"/>
            <w:shd w:val="clear" w:color="auto" w:fill="auto"/>
            <w:vAlign w:val="center"/>
          </w:tcPr>
          <w:p w14:paraId="1F483F36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19 08 09</w:t>
            </w:r>
          </w:p>
        </w:tc>
        <w:tc>
          <w:tcPr>
            <w:tcW w:w="1126" w:type="dxa"/>
            <w:shd w:val="clear" w:color="auto" w:fill="auto"/>
          </w:tcPr>
          <w:p w14:paraId="31ADC001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71ABA17B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vertAlign w:val="superscript"/>
              </w:rPr>
            </w:pPr>
            <w:r w:rsidRPr="007A7591">
              <w:rPr>
                <w:rFonts w:ascii="Arial Narrow" w:hAnsi="Arial Narrow"/>
                <w:sz w:val="24"/>
                <w:szCs w:val="24"/>
              </w:rPr>
              <w:t>Směs tuků a olejů z odlučovače tuků obsahující pouze jedlé oleje a jedlé tuky</w:t>
            </w:r>
            <w:r w:rsidRPr="007A7591">
              <w:rPr>
                <w:rFonts w:ascii="Arial Narrow" w:hAnsi="Arial Narrow"/>
                <w:sz w:val="24"/>
                <w:szCs w:val="24"/>
                <w:vertAlign w:val="superscript"/>
              </w:rPr>
              <w:t>2)</w:t>
            </w:r>
          </w:p>
        </w:tc>
      </w:tr>
      <w:tr w:rsidR="006F2993" w:rsidRPr="007A7591" w14:paraId="1E13ED82" w14:textId="77777777" w:rsidTr="00615627">
        <w:tc>
          <w:tcPr>
            <w:tcW w:w="1277" w:type="dxa"/>
            <w:shd w:val="clear" w:color="auto" w:fill="auto"/>
            <w:vAlign w:val="center"/>
          </w:tcPr>
          <w:p w14:paraId="309B4288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19 12 07</w:t>
            </w:r>
          </w:p>
        </w:tc>
        <w:tc>
          <w:tcPr>
            <w:tcW w:w="1126" w:type="dxa"/>
            <w:shd w:val="clear" w:color="auto" w:fill="auto"/>
          </w:tcPr>
          <w:p w14:paraId="4F54297B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6AC837DC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Dřevo neuvedené pod číslem 19 12 06</w:t>
            </w:r>
          </w:p>
        </w:tc>
      </w:tr>
      <w:tr w:rsidR="006F2993" w:rsidRPr="007A7591" w14:paraId="385652E4" w14:textId="77777777" w:rsidTr="00615627">
        <w:tc>
          <w:tcPr>
            <w:tcW w:w="1277" w:type="dxa"/>
            <w:shd w:val="clear" w:color="auto" w:fill="auto"/>
            <w:vAlign w:val="center"/>
          </w:tcPr>
          <w:p w14:paraId="7D8B4DFE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19 12 12</w:t>
            </w:r>
          </w:p>
        </w:tc>
        <w:tc>
          <w:tcPr>
            <w:tcW w:w="1126" w:type="dxa"/>
            <w:shd w:val="clear" w:color="auto" w:fill="auto"/>
          </w:tcPr>
          <w:p w14:paraId="643C0B32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6E867C2A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Jiné odpady (včetně směsí materiálů) z mechanické úpravy odpadu neuvedené pod číslem 19 12 11 (pouze odpad, který vznikl v zařízení určeném pro nakládání s biologicky rozložitelným odpadem úpravou biologicky rozložitelných odpadů uvedených v tomto seznamu)</w:t>
            </w:r>
          </w:p>
        </w:tc>
      </w:tr>
      <w:tr w:rsidR="006F2993" w:rsidRPr="007A7591" w14:paraId="08077EEF" w14:textId="77777777" w:rsidTr="00615627">
        <w:tc>
          <w:tcPr>
            <w:tcW w:w="1277" w:type="dxa"/>
            <w:shd w:val="clear" w:color="auto" w:fill="auto"/>
            <w:vAlign w:val="center"/>
          </w:tcPr>
          <w:p w14:paraId="62B6C393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20 01 08</w:t>
            </w:r>
          </w:p>
        </w:tc>
        <w:tc>
          <w:tcPr>
            <w:tcW w:w="1126" w:type="dxa"/>
            <w:shd w:val="clear" w:color="auto" w:fill="auto"/>
          </w:tcPr>
          <w:p w14:paraId="1879DAF0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15D0D852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vertAlign w:val="superscript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Biologicky rozložitelný odpad z kuchyní a stravoven (pouze vytříděný kuchyňský odpad rostlinného původu, neobsahuje živočišné tkáně)</w:t>
            </w:r>
            <w:r w:rsidRPr="007A7591">
              <w:rPr>
                <w:rFonts w:ascii="Arial Narrow" w:hAnsi="Arial Narrow" w:cs="Calibri"/>
                <w:sz w:val="24"/>
                <w:szCs w:val="24"/>
                <w:vertAlign w:val="superscript"/>
              </w:rPr>
              <w:t>2)</w:t>
            </w:r>
          </w:p>
        </w:tc>
      </w:tr>
      <w:tr w:rsidR="006F2993" w:rsidRPr="007A7591" w14:paraId="3025EDD1" w14:textId="77777777" w:rsidTr="00615627">
        <w:tc>
          <w:tcPr>
            <w:tcW w:w="1277" w:type="dxa"/>
            <w:shd w:val="clear" w:color="auto" w:fill="auto"/>
            <w:vAlign w:val="center"/>
          </w:tcPr>
          <w:p w14:paraId="229D52B2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20 01 38</w:t>
            </w:r>
          </w:p>
        </w:tc>
        <w:tc>
          <w:tcPr>
            <w:tcW w:w="1126" w:type="dxa"/>
            <w:shd w:val="clear" w:color="auto" w:fill="auto"/>
          </w:tcPr>
          <w:p w14:paraId="087A2F2A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52701016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Dřevo neuvedené pod číslem 20 01 37</w:t>
            </w:r>
          </w:p>
        </w:tc>
      </w:tr>
      <w:tr w:rsidR="006F2993" w:rsidRPr="007A7591" w14:paraId="0D20B01D" w14:textId="77777777" w:rsidTr="00615627">
        <w:tc>
          <w:tcPr>
            <w:tcW w:w="1277" w:type="dxa"/>
            <w:shd w:val="clear" w:color="auto" w:fill="auto"/>
            <w:vAlign w:val="center"/>
          </w:tcPr>
          <w:p w14:paraId="3A212BE4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20 01 25</w:t>
            </w:r>
          </w:p>
        </w:tc>
        <w:tc>
          <w:tcPr>
            <w:tcW w:w="1126" w:type="dxa"/>
            <w:shd w:val="clear" w:color="auto" w:fill="auto"/>
          </w:tcPr>
          <w:p w14:paraId="259D8FD0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28A2EB11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vertAlign w:val="superscript"/>
              </w:rPr>
            </w:pPr>
            <w:r w:rsidRPr="007A7591">
              <w:rPr>
                <w:rFonts w:ascii="Arial Narrow" w:hAnsi="Arial Narrow"/>
                <w:sz w:val="24"/>
                <w:szCs w:val="24"/>
              </w:rPr>
              <w:t>Jedlý olej a tuk</w:t>
            </w:r>
            <w:r w:rsidRPr="007A7591">
              <w:rPr>
                <w:rFonts w:ascii="Arial Narrow" w:hAnsi="Arial Narrow"/>
                <w:sz w:val="24"/>
                <w:szCs w:val="24"/>
                <w:vertAlign w:val="superscript"/>
              </w:rPr>
              <w:t>2)</w:t>
            </w:r>
          </w:p>
        </w:tc>
      </w:tr>
      <w:tr w:rsidR="006F2993" w:rsidRPr="007A7591" w14:paraId="508F0B03" w14:textId="77777777" w:rsidTr="00615627">
        <w:tc>
          <w:tcPr>
            <w:tcW w:w="1277" w:type="dxa"/>
            <w:shd w:val="clear" w:color="auto" w:fill="auto"/>
            <w:vAlign w:val="center"/>
          </w:tcPr>
          <w:p w14:paraId="3A110035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20 02 01</w:t>
            </w:r>
          </w:p>
        </w:tc>
        <w:tc>
          <w:tcPr>
            <w:tcW w:w="1126" w:type="dxa"/>
            <w:shd w:val="clear" w:color="auto" w:fill="auto"/>
          </w:tcPr>
          <w:p w14:paraId="3941C985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2BDCCC1C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Biologicky rozložitelný odpad</w:t>
            </w:r>
          </w:p>
        </w:tc>
      </w:tr>
      <w:tr w:rsidR="006F2993" w:rsidRPr="007A7591" w14:paraId="43079A6C" w14:textId="77777777" w:rsidTr="00615627">
        <w:tc>
          <w:tcPr>
            <w:tcW w:w="1277" w:type="dxa"/>
            <w:shd w:val="clear" w:color="auto" w:fill="auto"/>
            <w:vAlign w:val="center"/>
          </w:tcPr>
          <w:p w14:paraId="1AA65ED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20 03 02</w:t>
            </w:r>
          </w:p>
        </w:tc>
        <w:tc>
          <w:tcPr>
            <w:tcW w:w="1126" w:type="dxa"/>
            <w:shd w:val="clear" w:color="auto" w:fill="auto"/>
          </w:tcPr>
          <w:p w14:paraId="7B901A8A" w14:textId="77777777" w:rsidR="006F2993" w:rsidRPr="007A7591" w:rsidRDefault="006F2993" w:rsidP="006156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6472" w:type="dxa"/>
            <w:shd w:val="clear" w:color="auto" w:fill="auto"/>
            <w:vAlign w:val="center"/>
          </w:tcPr>
          <w:p w14:paraId="62571D30" w14:textId="77777777" w:rsidR="006F2993" w:rsidRPr="007A7591" w:rsidRDefault="006F2993" w:rsidP="0061562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7A7591">
              <w:rPr>
                <w:rFonts w:ascii="Arial Narrow" w:hAnsi="Arial Narrow" w:cs="Calibri"/>
                <w:sz w:val="24"/>
                <w:szCs w:val="24"/>
              </w:rPr>
              <w:t>Odpad z tržišť</w:t>
            </w:r>
          </w:p>
        </w:tc>
      </w:tr>
    </w:tbl>
    <w:p w14:paraId="15BBEEDD" w14:textId="77777777" w:rsidR="006F2993" w:rsidRPr="007A7591" w:rsidRDefault="006F2993" w:rsidP="006F2993">
      <w:pPr>
        <w:keepNext/>
        <w:spacing w:after="0" w:line="281" w:lineRule="auto"/>
        <w:jc w:val="both"/>
        <w:outlineLvl w:val="0"/>
        <w:rPr>
          <w:rFonts w:ascii="Arial Narrow" w:hAnsi="Arial Narrow" w:cs="Arial"/>
          <w:i/>
          <w:color w:val="000000"/>
          <w:sz w:val="20"/>
          <w:szCs w:val="20"/>
        </w:rPr>
      </w:pPr>
      <w:bookmarkStart w:id="5" w:name="_Toc138624405"/>
      <w:bookmarkStart w:id="6" w:name="_Toc138624484"/>
      <w:r w:rsidRPr="007A7591">
        <w:rPr>
          <w:rFonts w:ascii="Arial Narrow" w:hAnsi="Arial Narrow" w:cs="Arial"/>
          <w:i/>
          <w:color w:val="000000"/>
          <w:sz w:val="20"/>
          <w:szCs w:val="20"/>
          <w:vertAlign w:val="superscript"/>
        </w:rPr>
        <w:t xml:space="preserve">1) </w:t>
      </w:r>
      <w:r w:rsidRPr="007A7591">
        <w:rPr>
          <w:rFonts w:ascii="Arial Narrow" w:hAnsi="Arial Narrow" w:cs="Arial"/>
          <w:i/>
          <w:color w:val="000000"/>
          <w:sz w:val="20"/>
          <w:szCs w:val="20"/>
        </w:rPr>
        <w:t>Pouze pokud se nejedná o výstup z úpravy směsného komunálního odpadu</w:t>
      </w:r>
      <w:bookmarkEnd w:id="5"/>
      <w:bookmarkEnd w:id="6"/>
    </w:p>
    <w:p w14:paraId="65C74EA7" w14:textId="77777777" w:rsidR="006F2993" w:rsidRPr="007A7591" w:rsidRDefault="006F2993" w:rsidP="006F2993">
      <w:pPr>
        <w:keepNext/>
        <w:spacing w:after="0" w:line="281" w:lineRule="auto"/>
        <w:jc w:val="both"/>
        <w:outlineLvl w:val="0"/>
        <w:rPr>
          <w:rFonts w:ascii="Arial Narrow" w:hAnsi="Arial Narrow"/>
          <w:i/>
          <w:sz w:val="20"/>
          <w:szCs w:val="20"/>
        </w:rPr>
      </w:pPr>
      <w:bookmarkStart w:id="7" w:name="_Toc138624406"/>
      <w:bookmarkStart w:id="8" w:name="_Toc138624485"/>
      <w:r w:rsidRPr="007A7591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 xml:space="preserve">2) </w:t>
      </w:r>
      <w:r w:rsidRPr="007A7591">
        <w:rPr>
          <w:rFonts w:ascii="Arial Narrow" w:eastAsia="Times New Roman" w:hAnsi="Arial Narrow" w:cs="Times New Roman"/>
          <w:i/>
          <w:sz w:val="20"/>
          <w:szCs w:val="20"/>
        </w:rPr>
        <w:t>Jedná se o odpady, které neobsahují živočišné produkty, a tedy odpady, které ne</w:t>
      </w:r>
      <w:r w:rsidRPr="007A7591">
        <w:rPr>
          <w:rFonts w:ascii="Arial Narrow" w:hAnsi="Arial Narrow"/>
          <w:i/>
          <w:sz w:val="20"/>
          <w:szCs w:val="20"/>
        </w:rPr>
        <w:t>podléhají souhlasu a kontrole Krajské veterinární správy</w:t>
      </w:r>
      <w:bookmarkEnd w:id="7"/>
      <w:bookmarkEnd w:id="8"/>
    </w:p>
    <w:p w14:paraId="2A21499E" w14:textId="77777777" w:rsidR="006F2993" w:rsidRPr="007A7591" w:rsidRDefault="006F2993" w:rsidP="006F2993">
      <w:pPr>
        <w:keepNext/>
        <w:spacing w:after="0" w:line="281" w:lineRule="auto"/>
        <w:jc w:val="both"/>
        <w:outlineLvl w:val="0"/>
        <w:rPr>
          <w:rFonts w:ascii="Arial Narrow" w:hAnsi="Arial Narrow"/>
          <w:i/>
          <w:sz w:val="20"/>
          <w:szCs w:val="20"/>
        </w:rPr>
      </w:pPr>
      <w:r w:rsidRPr="007A7591">
        <w:rPr>
          <w:rFonts w:ascii="Arial Narrow" w:hAnsi="Arial Narrow"/>
          <w:i/>
          <w:sz w:val="20"/>
          <w:szCs w:val="20"/>
          <w:vertAlign w:val="superscript"/>
        </w:rPr>
        <w:t xml:space="preserve">3) </w:t>
      </w:r>
      <w:r w:rsidRPr="007A7591">
        <w:rPr>
          <w:rFonts w:ascii="Arial Narrow" w:hAnsi="Arial Narrow"/>
          <w:i/>
          <w:sz w:val="20"/>
          <w:szCs w:val="20"/>
        </w:rPr>
        <w:t>Statková hnojiva nemusí být při předání do zařízení zařazena jako odpad.</w:t>
      </w:r>
    </w:p>
    <w:p w14:paraId="5A11E9EB" w14:textId="77777777" w:rsidR="006F2993" w:rsidRPr="007A7591" w:rsidRDefault="006F2993" w:rsidP="006F2993">
      <w:pPr>
        <w:spacing w:after="0" w:line="281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C47CD0F" w14:textId="77777777" w:rsidR="006F2993" w:rsidRPr="007A7591" w:rsidRDefault="006F2993" w:rsidP="006F2993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9" w:name="_Toc100043116"/>
      <w:bookmarkStart w:id="10" w:name="_Toc102114306"/>
      <w:bookmarkStart w:id="11" w:name="_Toc138624407"/>
      <w:bookmarkStart w:id="12" w:name="_Toc138624486"/>
      <w:r w:rsidRPr="007A7591">
        <w:rPr>
          <w:rFonts w:ascii="Arial Narrow" w:hAnsi="Arial Narrow" w:cs="Calibri"/>
          <w:b/>
        </w:rPr>
        <w:t>Údaj o tom, zda v zařízení dochází ke zpětnému odběru výrobků s ukončenou životností a jejich výčet</w:t>
      </w:r>
      <w:bookmarkEnd w:id="9"/>
      <w:bookmarkEnd w:id="10"/>
      <w:bookmarkEnd w:id="11"/>
      <w:bookmarkEnd w:id="12"/>
    </w:p>
    <w:p w14:paraId="6992BFD8" w14:textId="77777777" w:rsidR="006F2993" w:rsidRPr="007A7591" w:rsidRDefault="006F2993" w:rsidP="006F2993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13" w:name="_Toc100043117"/>
      <w:bookmarkStart w:id="14" w:name="_Toc102114307"/>
      <w:bookmarkStart w:id="15" w:name="_Toc138624408"/>
      <w:bookmarkStart w:id="16" w:name="_Toc138624487"/>
      <w:r w:rsidRPr="007A7591">
        <w:rPr>
          <w:rFonts w:ascii="Arial Narrow" w:hAnsi="Arial Narrow" w:cs="Calibri"/>
        </w:rPr>
        <w:t>V rámci zařízení není prováděn zpětný odběr vybraných výrobků a zařízení.</w:t>
      </w:r>
      <w:bookmarkEnd w:id="13"/>
      <w:bookmarkEnd w:id="14"/>
      <w:bookmarkEnd w:id="15"/>
      <w:bookmarkEnd w:id="16"/>
    </w:p>
    <w:p w14:paraId="3DD6A400" w14:textId="77777777" w:rsidR="006F2993" w:rsidRPr="007A7591" w:rsidRDefault="006F2993" w:rsidP="006F2993">
      <w:pPr>
        <w:pStyle w:val="l3"/>
        <w:spacing w:before="0" w:beforeAutospacing="0" w:after="120" w:afterAutospacing="0" w:line="281" w:lineRule="auto"/>
        <w:jc w:val="both"/>
        <w:outlineLvl w:val="1"/>
        <w:rPr>
          <w:rFonts w:ascii="Arial Narrow" w:hAnsi="Arial Narrow" w:cs="Calibri"/>
          <w:b/>
        </w:rPr>
      </w:pPr>
      <w:bookmarkStart w:id="17" w:name="_Toc100043118"/>
      <w:bookmarkStart w:id="18" w:name="_Toc102114308"/>
      <w:bookmarkStart w:id="19" w:name="_Toc138624409"/>
      <w:bookmarkStart w:id="20" w:name="_Toc138624488"/>
      <w:r w:rsidRPr="007A7591">
        <w:rPr>
          <w:rFonts w:ascii="Arial Narrow" w:hAnsi="Arial Narrow" w:cs="Calibri"/>
          <w:b/>
        </w:rPr>
        <w:t>Vymezení věcí a materiálů, které vstupují do zařízení a nejedná se o odpady</w:t>
      </w:r>
      <w:bookmarkEnd w:id="17"/>
      <w:bookmarkEnd w:id="18"/>
      <w:bookmarkEnd w:id="19"/>
      <w:bookmarkEnd w:id="20"/>
    </w:p>
    <w:p w14:paraId="6E5E685E" w14:textId="77777777" w:rsidR="006F2993" w:rsidRDefault="006F2993" w:rsidP="006F2993">
      <w:pPr>
        <w:spacing w:after="120" w:line="281" w:lineRule="auto"/>
        <w:jc w:val="both"/>
        <w:rPr>
          <w:rFonts w:ascii="Arial Narrow" w:hAnsi="Arial Narrow" w:cs="Calibri"/>
          <w:sz w:val="24"/>
          <w:szCs w:val="24"/>
        </w:rPr>
      </w:pPr>
      <w:r w:rsidRPr="007A7591">
        <w:rPr>
          <w:rFonts w:ascii="Arial Narrow" w:hAnsi="Arial Narrow" w:cs="Calibri"/>
          <w:sz w:val="24"/>
          <w:szCs w:val="24"/>
        </w:rPr>
        <w:t>Do zařízení mohou vstupovat statková hnojiva mimo režim odpadů.</w:t>
      </w:r>
    </w:p>
    <w:p w14:paraId="7604F9D4" w14:textId="77777777" w:rsidR="00951CC7" w:rsidRDefault="00951CC7"/>
    <w:sectPr w:rsidR="0095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3"/>
    <w:rsid w:val="006F2993"/>
    <w:rsid w:val="009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9D6"/>
  <w15:chartTrackingRefBased/>
  <w15:docId w15:val="{CCC1C77E-953F-4916-8CF5-17A676D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993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6F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Cielecká</dc:creator>
  <cp:keywords/>
  <dc:description/>
  <cp:lastModifiedBy>Ivona Cielecká</cp:lastModifiedBy>
  <cp:revision>1</cp:revision>
  <dcterms:created xsi:type="dcterms:W3CDTF">2024-03-04T10:32:00Z</dcterms:created>
  <dcterms:modified xsi:type="dcterms:W3CDTF">2024-03-04T10:33:00Z</dcterms:modified>
</cp:coreProperties>
</file>